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6945"/>
      </w:tblGrid>
      <w:tr w:rsidR="005B3068" w:rsidRPr="00D521A3" w14:paraId="6792AC75" w14:textId="77777777" w:rsidTr="00766722">
        <w:tc>
          <w:tcPr>
            <w:tcW w:w="1951" w:type="dxa"/>
            <w:shd w:val="clear" w:color="auto" w:fill="C00000"/>
          </w:tcPr>
          <w:p w14:paraId="349A9A4D" w14:textId="77777777" w:rsidR="005B3068" w:rsidRDefault="005B3068" w:rsidP="005B3068">
            <w:pPr>
              <w:rPr>
                <w:rFonts w:asciiTheme="minorHAnsi" w:hAnsiTheme="minorHAnsi"/>
                <w:b/>
                <w:lang w:val="en-US"/>
              </w:rPr>
            </w:pPr>
            <w:r w:rsidRPr="005B3068">
              <w:rPr>
                <w:rFonts w:asciiTheme="minorHAnsi" w:hAnsiTheme="minorHAnsi"/>
                <w:b/>
                <w:lang w:val="en-US"/>
              </w:rPr>
              <w:t>Title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14:paraId="2A1E4D92" w14:textId="42BEE2F4" w:rsidR="005B3068" w:rsidRPr="00D521A3" w:rsidRDefault="00D521A3" w:rsidP="00B529A1">
            <w:pPr>
              <w:rPr>
                <w:rFonts w:asciiTheme="minorHAnsi" w:hAnsiTheme="minorHAnsi"/>
                <w:b/>
                <w:lang w:val="en-US"/>
              </w:rPr>
            </w:pPr>
            <w:r w:rsidRPr="00D521A3">
              <w:rPr>
                <w:rFonts w:asciiTheme="minorHAnsi" w:hAnsiTheme="minorHAnsi"/>
                <w:b/>
                <w:lang w:val="en-US"/>
              </w:rPr>
              <w:t>Synergistic Integration of Photochemical and Electrochemical Processes in Catalysis</w:t>
            </w:r>
          </w:p>
        </w:tc>
      </w:tr>
      <w:tr w:rsidR="00766722" w:rsidRPr="00D521A3" w14:paraId="6B74F25B" w14:textId="77777777" w:rsidTr="00766722">
        <w:tc>
          <w:tcPr>
            <w:tcW w:w="97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00EEFD38" w14:textId="77777777" w:rsidR="00766722" w:rsidRDefault="00766722" w:rsidP="00B529A1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5B3068" w14:paraId="62656486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008282ED" w14:textId="77777777" w:rsidR="005B3068" w:rsidRPr="00766722" w:rsidRDefault="005B3068" w:rsidP="00F67721">
            <w:pPr>
              <w:rPr>
                <w:rFonts w:asciiTheme="minorHAnsi" w:hAnsiTheme="minorHAnsi"/>
                <w:lang w:val="en-US"/>
              </w:rPr>
            </w:pPr>
            <w:r w:rsidRPr="00766722">
              <w:rPr>
                <w:rFonts w:asciiTheme="minorHAnsi" w:hAnsiTheme="minorHAnsi"/>
              </w:rPr>
              <w:t>P</w:t>
            </w:r>
            <w:r w:rsidR="00F67721" w:rsidRPr="00766722">
              <w:rPr>
                <w:rFonts w:asciiTheme="minorHAnsi" w:hAnsiTheme="minorHAnsi"/>
              </w:rPr>
              <w:t>roponent</w:t>
            </w:r>
          </w:p>
        </w:tc>
        <w:tc>
          <w:tcPr>
            <w:tcW w:w="7796" w:type="dxa"/>
            <w:gridSpan w:val="2"/>
          </w:tcPr>
          <w:p w14:paraId="29E57279" w14:textId="27167C30" w:rsidR="005B3068" w:rsidRPr="00766722" w:rsidRDefault="002C6F0E" w:rsidP="00B529A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Marco Fantin</w:t>
            </w:r>
          </w:p>
        </w:tc>
      </w:tr>
      <w:tr w:rsidR="002C6F0E" w:rsidRPr="00F67721" w14:paraId="57FC334A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66CE427B" w14:textId="77777777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 w:rsidRPr="00766722">
              <w:rPr>
                <w:rFonts w:asciiTheme="minorHAnsi" w:hAnsiTheme="minorHAnsi"/>
                <w:lang w:val="en-US"/>
              </w:rPr>
              <w:t>Research Group</w:t>
            </w:r>
          </w:p>
        </w:tc>
        <w:tc>
          <w:tcPr>
            <w:tcW w:w="7796" w:type="dxa"/>
            <w:gridSpan w:val="2"/>
          </w:tcPr>
          <w:p w14:paraId="11D94A18" w14:textId="751CE4D0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 w:rsidRPr="00F17BBF">
              <w:rPr>
                <w:rFonts w:asciiTheme="minorHAnsi" w:hAnsiTheme="minorHAnsi"/>
                <w:lang w:val="en-US"/>
              </w:rPr>
              <w:t>Electrocatalysis and Applied Electrochemistry</w:t>
            </w:r>
          </w:p>
        </w:tc>
      </w:tr>
      <w:tr w:rsidR="002C6F0E" w:rsidRPr="00D521A3" w14:paraId="3DC56413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01487D0C" w14:textId="77777777" w:rsidR="002C6F0E" w:rsidRPr="00766722" w:rsidRDefault="002C6F0E" w:rsidP="002C6F0E">
            <w:pPr>
              <w:rPr>
                <w:rFonts w:asciiTheme="minorHAnsi" w:hAnsiTheme="minorHAnsi"/>
              </w:rPr>
            </w:pPr>
            <w:r w:rsidRPr="00766722">
              <w:rPr>
                <w:rFonts w:asciiTheme="minorHAnsi" w:hAnsiTheme="minorHAnsi"/>
              </w:rPr>
              <w:t>Contact</w:t>
            </w:r>
          </w:p>
        </w:tc>
        <w:tc>
          <w:tcPr>
            <w:tcW w:w="851" w:type="dxa"/>
          </w:tcPr>
          <w:p w14:paraId="54F1DCB2" w14:textId="77777777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 w:rsidRPr="00766722">
              <w:rPr>
                <w:rFonts w:asciiTheme="minorHAnsi" w:hAnsiTheme="minorHAnsi"/>
                <w:lang w:val="en-US"/>
              </w:rPr>
              <w:t>web:</w:t>
            </w:r>
          </w:p>
        </w:tc>
        <w:tc>
          <w:tcPr>
            <w:tcW w:w="6945" w:type="dxa"/>
          </w:tcPr>
          <w:p w14:paraId="5DAC805D" w14:textId="6B925FD8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 w:rsidRPr="00F17BBF">
              <w:rPr>
                <w:rFonts w:asciiTheme="minorHAnsi" w:hAnsiTheme="minorHAnsi"/>
                <w:lang w:val="en-US"/>
              </w:rPr>
              <w:t>https://wwwdisc.chimica.unipd.it/electrochem/</w:t>
            </w:r>
          </w:p>
        </w:tc>
      </w:tr>
      <w:tr w:rsidR="002C6F0E" w:rsidRPr="005B3068" w14:paraId="16CDC395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589D0325" w14:textId="77777777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1" w:type="dxa"/>
          </w:tcPr>
          <w:p w14:paraId="1A8E7EE8" w14:textId="77777777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 w:rsidRPr="00766722">
              <w:rPr>
                <w:rFonts w:asciiTheme="minorHAnsi" w:hAnsiTheme="minorHAnsi"/>
                <w:lang w:val="en-US"/>
              </w:rPr>
              <w:t>email:</w:t>
            </w:r>
          </w:p>
        </w:tc>
        <w:tc>
          <w:tcPr>
            <w:tcW w:w="6945" w:type="dxa"/>
          </w:tcPr>
          <w:p w14:paraId="67A7434D" w14:textId="07BE91D8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marco.fantin@unipd.it</w:t>
            </w:r>
          </w:p>
        </w:tc>
      </w:tr>
      <w:tr w:rsidR="002C6F0E" w:rsidRPr="005B3068" w14:paraId="3D750989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6ED4E01A" w14:textId="77777777" w:rsidR="002C6F0E" w:rsidRPr="00766722" w:rsidRDefault="002C6F0E" w:rsidP="002C6F0E">
            <w:pPr>
              <w:rPr>
                <w:rFonts w:asciiTheme="minorHAnsi" w:hAnsiTheme="minorHAnsi"/>
              </w:rPr>
            </w:pPr>
            <w:r w:rsidRPr="00766722">
              <w:rPr>
                <w:rFonts w:asciiTheme="minorHAnsi" w:hAnsiTheme="minorHAnsi"/>
              </w:rPr>
              <w:t>Co-Proponent</w:t>
            </w:r>
          </w:p>
        </w:tc>
        <w:tc>
          <w:tcPr>
            <w:tcW w:w="7796" w:type="dxa"/>
            <w:gridSpan w:val="2"/>
          </w:tcPr>
          <w:p w14:paraId="77A62F64" w14:textId="1D028BD5" w:rsidR="002C6F0E" w:rsidRPr="00766722" w:rsidRDefault="002C6F0E" w:rsidP="002C6F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Sartorel</w:t>
            </w:r>
          </w:p>
        </w:tc>
      </w:tr>
      <w:tr w:rsidR="002C6F0E" w:rsidRPr="005B3068" w14:paraId="111E22EE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4DFBB080" w14:textId="77777777" w:rsidR="002C6F0E" w:rsidRPr="00766722" w:rsidRDefault="002C6F0E" w:rsidP="002C6F0E">
            <w:pPr>
              <w:rPr>
                <w:rFonts w:asciiTheme="minorHAnsi" w:hAnsiTheme="minorHAnsi"/>
              </w:rPr>
            </w:pPr>
            <w:r w:rsidRPr="00766722">
              <w:rPr>
                <w:rFonts w:asciiTheme="minorHAnsi" w:hAnsiTheme="minorHAnsi"/>
              </w:rPr>
              <w:t>Research Group</w:t>
            </w:r>
          </w:p>
        </w:tc>
        <w:tc>
          <w:tcPr>
            <w:tcW w:w="7796" w:type="dxa"/>
            <w:gridSpan w:val="2"/>
          </w:tcPr>
          <w:p w14:paraId="4BAEEF46" w14:textId="61B0909E" w:rsidR="002C6F0E" w:rsidRPr="00766722" w:rsidRDefault="002C6F0E" w:rsidP="002C6F0E">
            <w:pPr>
              <w:rPr>
                <w:rFonts w:asciiTheme="minorHAnsi" w:hAnsiTheme="minorHAnsi"/>
              </w:rPr>
            </w:pPr>
            <w:r w:rsidRPr="00F17BBF">
              <w:rPr>
                <w:rFonts w:asciiTheme="minorHAnsi" w:hAnsiTheme="minorHAnsi"/>
              </w:rPr>
              <w:t>Nano &amp; Molecular Catalysis</w:t>
            </w:r>
          </w:p>
        </w:tc>
      </w:tr>
      <w:tr w:rsidR="002C6F0E" w:rsidRPr="00D521A3" w14:paraId="0C724315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4C2EB769" w14:textId="77777777" w:rsidR="002C6F0E" w:rsidRPr="00766722" w:rsidRDefault="002C6F0E" w:rsidP="002C6F0E">
            <w:pPr>
              <w:rPr>
                <w:rFonts w:asciiTheme="minorHAnsi" w:hAnsiTheme="minorHAnsi"/>
              </w:rPr>
            </w:pPr>
            <w:r w:rsidRPr="00766722">
              <w:rPr>
                <w:rFonts w:asciiTheme="minorHAnsi" w:hAnsiTheme="minorHAnsi"/>
              </w:rPr>
              <w:t>Contact</w:t>
            </w:r>
          </w:p>
        </w:tc>
        <w:tc>
          <w:tcPr>
            <w:tcW w:w="7796" w:type="dxa"/>
            <w:gridSpan w:val="2"/>
          </w:tcPr>
          <w:p w14:paraId="373F24C4" w14:textId="775A526F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 w:rsidRPr="00766722">
              <w:rPr>
                <w:rFonts w:asciiTheme="minorHAnsi" w:hAnsiTheme="minorHAnsi"/>
                <w:lang w:val="en-US"/>
              </w:rPr>
              <w:t>web:</w:t>
            </w:r>
            <w:r w:rsidRPr="002C6F0E">
              <w:rPr>
                <w:lang w:val="en-US"/>
              </w:rPr>
              <w:t xml:space="preserve"> </w:t>
            </w:r>
            <w:r w:rsidRPr="002C6F0E">
              <w:rPr>
                <w:rFonts w:asciiTheme="minorHAnsi" w:hAnsiTheme="minorHAnsi"/>
                <w:lang w:val="en-US"/>
              </w:rPr>
              <w:t>http://www.chimica.unipd.it/NanoMolCat</w:t>
            </w:r>
          </w:p>
        </w:tc>
      </w:tr>
      <w:tr w:rsidR="002C6F0E" w:rsidRPr="00F67721" w14:paraId="03F4BD9B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168421DF" w14:textId="77777777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1" w:type="dxa"/>
          </w:tcPr>
          <w:p w14:paraId="6614260D" w14:textId="77777777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 w:rsidRPr="00766722">
              <w:rPr>
                <w:rFonts w:asciiTheme="minorHAnsi" w:hAnsiTheme="minorHAnsi"/>
                <w:lang w:val="en-US"/>
              </w:rPr>
              <w:t>email:</w:t>
            </w:r>
          </w:p>
        </w:tc>
        <w:tc>
          <w:tcPr>
            <w:tcW w:w="6945" w:type="dxa"/>
          </w:tcPr>
          <w:p w14:paraId="2E04A9D9" w14:textId="7579DCF8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andrea.sartorel@unipd.it</w:t>
            </w:r>
          </w:p>
        </w:tc>
      </w:tr>
      <w:tr w:rsidR="002C6F0E" w:rsidRPr="00F67721" w14:paraId="1A84A9C8" w14:textId="77777777" w:rsidTr="00766722">
        <w:tc>
          <w:tcPr>
            <w:tcW w:w="97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F1A99A1" w14:textId="77777777" w:rsidR="002C6F0E" w:rsidRPr="00B529A1" w:rsidRDefault="002C6F0E" w:rsidP="002C6F0E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2C6F0E" w:rsidRPr="00F67721" w14:paraId="287E1D3C" w14:textId="77777777" w:rsidTr="00540D15">
        <w:tc>
          <w:tcPr>
            <w:tcW w:w="9747" w:type="dxa"/>
            <w:gridSpan w:val="3"/>
            <w:shd w:val="clear" w:color="auto" w:fill="C00000"/>
          </w:tcPr>
          <w:p w14:paraId="6E720D88" w14:textId="77777777" w:rsidR="002C6F0E" w:rsidRPr="00B529A1" w:rsidRDefault="002C6F0E" w:rsidP="002C6F0E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International Secondment</w:t>
            </w:r>
          </w:p>
        </w:tc>
      </w:tr>
      <w:tr w:rsidR="002C6F0E" w:rsidRPr="00F67721" w14:paraId="33FD6B87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09343FF9" w14:textId="77777777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 w:rsidRPr="00766722">
              <w:rPr>
                <w:rFonts w:asciiTheme="minorHAnsi" w:hAnsiTheme="minorHAnsi"/>
              </w:rPr>
              <w:t>PI</w:t>
            </w:r>
          </w:p>
        </w:tc>
        <w:tc>
          <w:tcPr>
            <w:tcW w:w="7796" w:type="dxa"/>
            <w:gridSpan w:val="2"/>
          </w:tcPr>
          <w:p w14:paraId="3486D746" w14:textId="36A42054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 w:rsidRPr="00F17BBF">
              <w:rPr>
                <w:rFonts w:asciiTheme="minorHAnsi" w:hAnsiTheme="minorHAnsi"/>
                <w:lang w:val="en-US"/>
              </w:rPr>
              <w:t>Cyrille Costentin</w:t>
            </w:r>
          </w:p>
        </w:tc>
      </w:tr>
      <w:tr w:rsidR="002C6F0E" w:rsidRPr="00F67721" w14:paraId="1D712CB4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1C12DE61" w14:textId="77777777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 w:rsidRPr="00766722">
              <w:rPr>
                <w:rFonts w:asciiTheme="minorHAnsi" w:hAnsiTheme="minorHAnsi"/>
                <w:lang w:val="en-US"/>
              </w:rPr>
              <w:t>Institute</w:t>
            </w:r>
          </w:p>
        </w:tc>
        <w:tc>
          <w:tcPr>
            <w:tcW w:w="7796" w:type="dxa"/>
            <w:gridSpan w:val="2"/>
          </w:tcPr>
          <w:p w14:paraId="1AE9FBE4" w14:textId="06C0724D" w:rsidR="002C6F0E" w:rsidRPr="002C6F0E" w:rsidRDefault="002C6F0E" w:rsidP="002C6F0E">
            <w:pPr>
              <w:pStyle w:val="Heading5"/>
              <w:shd w:val="clear" w:color="auto" w:fill="FFFFFF"/>
              <w:spacing w:after="195" w:line="405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27"/>
                <w:szCs w:val="27"/>
                <w:lang w:bidi="ar-SA"/>
              </w:rPr>
            </w:pPr>
            <w:r w:rsidRPr="00F17BBF">
              <w:rPr>
                <w:rFonts w:asciiTheme="minorHAnsi" w:hAnsiTheme="minorHAnsi" w:cstheme="minorHAnsi"/>
                <w:b w:val="0"/>
                <w:bCs w:val="0"/>
                <w:color w:val="000000"/>
                <w:szCs w:val="24"/>
              </w:rPr>
              <w:t>Université Grenoble-Alpes</w:t>
            </w:r>
          </w:p>
        </w:tc>
      </w:tr>
      <w:tr w:rsidR="002C6F0E" w:rsidRPr="00F67721" w14:paraId="40F8B315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19CCA4D3" w14:textId="77777777" w:rsidR="002C6F0E" w:rsidRPr="00766722" w:rsidRDefault="002C6F0E" w:rsidP="002C6F0E">
            <w:pPr>
              <w:rPr>
                <w:rFonts w:asciiTheme="minorHAnsi" w:hAnsiTheme="minorHAnsi"/>
              </w:rPr>
            </w:pPr>
            <w:r w:rsidRPr="00766722">
              <w:rPr>
                <w:rFonts w:asciiTheme="minorHAnsi" w:hAnsiTheme="minorHAnsi"/>
              </w:rPr>
              <w:t>Place, country</w:t>
            </w:r>
          </w:p>
        </w:tc>
        <w:tc>
          <w:tcPr>
            <w:tcW w:w="7796" w:type="dxa"/>
            <w:gridSpan w:val="2"/>
          </w:tcPr>
          <w:p w14:paraId="5ADBE54D" w14:textId="2A83FB1B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Grenoble, France</w:t>
            </w:r>
          </w:p>
        </w:tc>
      </w:tr>
      <w:tr w:rsidR="002C6F0E" w:rsidRPr="00F67721" w14:paraId="6B293594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1FFB0CFD" w14:textId="77777777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 w:rsidRPr="00766722">
              <w:rPr>
                <w:rFonts w:asciiTheme="minorHAnsi" w:hAnsiTheme="minorHAnsi"/>
                <w:lang w:val="en-US"/>
              </w:rPr>
              <w:t># months (min.3)</w:t>
            </w:r>
          </w:p>
        </w:tc>
        <w:tc>
          <w:tcPr>
            <w:tcW w:w="7796" w:type="dxa"/>
            <w:gridSpan w:val="2"/>
          </w:tcPr>
          <w:p w14:paraId="7D2E1003" w14:textId="2445043E" w:rsidR="002C6F0E" w:rsidRPr="00766722" w:rsidRDefault="002C6F0E" w:rsidP="002C6F0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3-6</w:t>
            </w:r>
          </w:p>
        </w:tc>
      </w:tr>
    </w:tbl>
    <w:p w14:paraId="26F95D96" w14:textId="77777777" w:rsidR="00F67721" w:rsidRPr="005B3068" w:rsidRDefault="00F67721" w:rsidP="005B3068">
      <w:pPr>
        <w:rPr>
          <w:rFonts w:asciiTheme="minorHAnsi" w:hAnsiTheme="minorHAnsi"/>
          <w:b/>
        </w:rPr>
      </w:pPr>
    </w:p>
    <w:p w14:paraId="47880FD8" w14:textId="77777777" w:rsidR="00F641EA" w:rsidRDefault="005B3068" w:rsidP="00766722">
      <w:pPr>
        <w:rPr>
          <w:rFonts w:asciiTheme="minorHAnsi" w:hAnsiTheme="minorHAnsi"/>
          <w:b/>
          <w:sz w:val="22"/>
          <w:szCs w:val="22"/>
          <w:lang w:val="en-US"/>
        </w:rPr>
      </w:pPr>
      <w:r w:rsidRPr="00B529A1">
        <w:rPr>
          <w:rFonts w:asciiTheme="minorHAnsi" w:hAnsiTheme="minorHAnsi"/>
          <w:b/>
          <w:sz w:val="22"/>
          <w:szCs w:val="22"/>
          <w:lang w:val="en-US"/>
        </w:rPr>
        <w:t>Project description</w:t>
      </w:r>
      <w:r w:rsidR="00F67721">
        <w:rPr>
          <w:rFonts w:asciiTheme="minorHAnsi" w:hAnsiTheme="minorHAnsi"/>
          <w:b/>
          <w:sz w:val="22"/>
          <w:szCs w:val="22"/>
          <w:lang w:val="en-US"/>
        </w:rPr>
        <w:t xml:space="preserve"> (</w:t>
      </w:r>
      <w:r w:rsidR="00766722">
        <w:rPr>
          <w:rFonts w:asciiTheme="minorHAnsi" w:hAnsiTheme="minorHAnsi"/>
          <w:b/>
          <w:sz w:val="22"/>
          <w:szCs w:val="22"/>
          <w:lang w:val="en-US"/>
        </w:rPr>
        <w:t>2</w:t>
      </w:r>
      <w:r w:rsidR="00F67721">
        <w:rPr>
          <w:rFonts w:asciiTheme="minorHAnsi" w:hAnsiTheme="minorHAnsi"/>
          <w:b/>
          <w:sz w:val="22"/>
          <w:szCs w:val="22"/>
          <w:lang w:val="en-US"/>
        </w:rPr>
        <w:t xml:space="preserve"> page max)</w:t>
      </w:r>
      <w:r w:rsidRPr="00B529A1">
        <w:rPr>
          <w:rFonts w:asciiTheme="minorHAnsi" w:hAnsiTheme="minorHAnsi"/>
          <w:b/>
          <w:sz w:val="22"/>
          <w:szCs w:val="22"/>
          <w:lang w:val="en-US"/>
        </w:rPr>
        <w:t>:</w:t>
      </w:r>
    </w:p>
    <w:p w14:paraId="40843862" w14:textId="77777777" w:rsidR="00C4383C" w:rsidRPr="00C4383C" w:rsidRDefault="00C4383C" w:rsidP="00C4383C">
      <w:pPr>
        <w:rPr>
          <w:rFonts w:asciiTheme="minorHAnsi" w:hAnsiTheme="minorHAnsi"/>
          <w:lang w:val="en-US" w:bidi="x-none"/>
        </w:rPr>
      </w:pPr>
      <w:r w:rsidRPr="00C4383C">
        <w:rPr>
          <w:rFonts w:asciiTheme="minorHAnsi" w:hAnsiTheme="minorHAnsi"/>
          <w:lang w:val="en-US" w:bidi="x-none"/>
        </w:rPr>
        <w:t>The proposed work aims to integrate a photochemical event and an electrochemical step within the same reaction pathway, thereby uncovering new pathways in synthetic chemistry. Inspired by nature's use of two visible-light photons to drive complex reactions in photosynthesis, we will instead introduce one photon and one electron (or hole) into a photocatalyst.</w:t>
      </w:r>
    </w:p>
    <w:p w14:paraId="2B73CD5D" w14:textId="77777777" w:rsidR="00C4383C" w:rsidRPr="00C4383C" w:rsidRDefault="00C4383C" w:rsidP="00C4383C">
      <w:pPr>
        <w:rPr>
          <w:rFonts w:asciiTheme="minorHAnsi" w:hAnsiTheme="minorHAnsi"/>
          <w:lang w:val="en-US" w:bidi="x-none"/>
        </w:rPr>
      </w:pPr>
    </w:p>
    <w:p w14:paraId="39F6EFD3" w14:textId="515B4F89" w:rsidR="00D521A3" w:rsidRDefault="00D521A3" w:rsidP="00D521A3">
      <w:pPr>
        <w:spacing w:after="120"/>
        <w:rPr>
          <w:rFonts w:asciiTheme="minorHAnsi" w:hAnsiTheme="minorHAnsi"/>
          <w:lang w:val="en-US"/>
        </w:rPr>
      </w:pPr>
      <w:r w:rsidRPr="00420D47">
        <w:rPr>
          <w:rFonts w:asciiTheme="minorHAnsi" w:hAnsiTheme="minorHAnsi"/>
          <w:lang w:val="en-US"/>
        </w:rPr>
        <w:drawing>
          <wp:inline distT="0" distB="0" distL="0" distR="0" wp14:anchorId="37072B76" wp14:editId="23605B13">
            <wp:extent cx="6120130" cy="3775710"/>
            <wp:effectExtent l="0" t="0" r="0" b="0"/>
            <wp:docPr id="1954574389" name="Picture 1" descr="A close-up of several diagr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574389" name="Picture 1" descr="A close-up of several diagram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BE6B" w14:textId="77777777" w:rsidR="0010127E" w:rsidRDefault="00D521A3" w:rsidP="0010127E">
      <w:pPr>
        <w:spacing w:after="120"/>
        <w:rPr>
          <w:rFonts w:asciiTheme="minorHAnsi" w:hAnsiTheme="minorHAnsi"/>
          <w:lang w:val="en-US" w:bidi="x-none"/>
        </w:rPr>
      </w:pPr>
      <w:r w:rsidRPr="00FD2606">
        <w:rPr>
          <w:rFonts w:asciiTheme="minorHAnsi" w:hAnsiTheme="minorHAnsi"/>
          <w:lang w:val="en-US" w:bidi="x-none"/>
        </w:rPr>
        <w:lastRenderedPageBreak/>
        <w:t>The integration of a homogeneous photocatalytic system into an electrochemical cell</w:t>
      </w:r>
      <w:r>
        <w:rPr>
          <w:rFonts w:asciiTheme="minorHAnsi" w:hAnsiTheme="minorHAnsi"/>
          <w:lang w:val="en-US"/>
        </w:rPr>
        <w:t>, termed electro-photocatalysis,</w:t>
      </w:r>
      <w:r w:rsidRPr="00FD2606">
        <w:rPr>
          <w:rFonts w:asciiTheme="minorHAnsi" w:hAnsiTheme="minorHAnsi"/>
          <w:lang w:val="en-US" w:bidi="x-none"/>
        </w:rPr>
        <w:t xml:space="preserve"> will enable us to access photocatalysts with unprecedented high-energy levels</w:t>
      </w:r>
      <w:r>
        <w:rPr>
          <w:rFonts w:asciiTheme="minorHAnsi" w:hAnsiTheme="minorHAnsi"/>
          <w:lang w:val="en-US"/>
        </w:rPr>
        <w:t xml:space="preserve"> (Figure A)</w:t>
      </w:r>
      <w:r w:rsidRPr="00FD2606">
        <w:rPr>
          <w:rFonts w:asciiTheme="minorHAnsi" w:hAnsiTheme="minorHAnsi"/>
          <w:lang w:val="en-US" w:bidi="x-none"/>
        </w:rPr>
        <w:t xml:space="preserve">. </w:t>
      </w:r>
    </w:p>
    <w:p w14:paraId="77D920E5" w14:textId="694A9F9A" w:rsidR="00C4383C" w:rsidRPr="00C4383C" w:rsidRDefault="00D521A3" w:rsidP="0010127E">
      <w:pPr>
        <w:spacing w:after="120"/>
        <w:rPr>
          <w:rFonts w:asciiTheme="minorHAnsi" w:hAnsiTheme="minorHAnsi"/>
          <w:lang w:val="en-US" w:bidi="x-none"/>
        </w:rPr>
      </w:pPr>
      <w:r w:rsidRPr="00FD2606">
        <w:rPr>
          <w:rFonts w:asciiTheme="minorHAnsi" w:hAnsiTheme="minorHAnsi"/>
          <w:lang w:val="en-US" w:bidi="x-none"/>
        </w:rPr>
        <w:t>These photocatalysts, characterized by extreme redox potentials, will facilitate highly demanding chemical reactions</w:t>
      </w:r>
      <w:r>
        <w:rPr>
          <w:rFonts w:asciiTheme="minorHAnsi" w:hAnsiTheme="minorHAnsi"/>
          <w:lang w:val="en-US"/>
        </w:rPr>
        <w:t xml:space="preserve"> (figure D)</w:t>
      </w:r>
      <w:r w:rsidRPr="00FD2606">
        <w:rPr>
          <w:rFonts w:asciiTheme="minorHAnsi" w:hAnsiTheme="minorHAnsi"/>
          <w:lang w:val="en-US" w:bidi="x-none"/>
        </w:rPr>
        <w:t xml:space="preserve">. For instance, in the case of </w:t>
      </w:r>
      <w:r>
        <w:rPr>
          <w:rFonts w:asciiTheme="minorHAnsi" w:hAnsiTheme="minorHAnsi"/>
          <w:lang w:val="en-US"/>
        </w:rPr>
        <w:t>reduction</w:t>
      </w:r>
      <w:r w:rsidRPr="00FD2606">
        <w:rPr>
          <w:rFonts w:asciiTheme="minorHAnsi" w:hAnsiTheme="minorHAnsi"/>
          <w:lang w:val="en-US" w:bidi="x-none"/>
        </w:rPr>
        <w:t xml:space="preserve">, a redox potential exceeding </w:t>
      </w:r>
      <w:r>
        <w:rPr>
          <w:rFonts w:asciiTheme="minorHAnsi" w:hAnsiTheme="minorHAnsi"/>
          <w:lang w:val="en-US"/>
        </w:rPr>
        <w:t>-</w:t>
      </w:r>
      <w:r w:rsidRPr="00FD2606">
        <w:rPr>
          <w:rFonts w:asciiTheme="minorHAnsi" w:hAnsiTheme="minorHAnsi"/>
          <w:lang w:val="en-US" w:bidi="x-none"/>
        </w:rPr>
        <w:t xml:space="preserve">3 V will be </w:t>
      </w:r>
      <w:r>
        <w:rPr>
          <w:rFonts w:asciiTheme="minorHAnsi" w:hAnsiTheme="minorHAnsi"/>
          <w:lang w:val="en-US"/>
        </w:rPr>
        <w:t>reached</w:t>
      </w:r>
      <w:r w:rsidRPr="00FD2606">
        <w:rPr>
          <w:rFonts w:asciiTheme="minorHAnsi" w:hAnsiTheme="minorHAnsi"/>
          <w:lang w:val="en-US" w:bidi="x-none"/>
        </w:rPr>
        <w:t xml:space="preserve">, allowing the photocatalysts to achieve single-electron </w:t>
      </w:r>
      <w:r>
        <w:rPr>
          <w:rFonts w:asciiTheme="minorHAnsi" w:hAnsiTheme="minorHAnsi"/>
          <w:lang w:val="en-US"/>
        </w:rPr>
        <w:t>reduction</w:t>
      </w:r>
      <w:r w:rsidRPr="00FD2606">
        <w:rPr>
          <w:rFonts w:asciiTheme="minorHAnsi" w:hAnsiTheme="minorHAnsi"/>
          <w:lang w:val="en-US" w:bidi="x-none"/>
        </w:rPr>
        <w:t xml:space="preserve"> </w:t>
      </w:r>
      <w:r>
        <w:rPr>
          <w:rFonts w:asciiTheme="minorHAnsi" w:hAnsiTheme="minorHAnsi"/>
          <w:lang w:val="en-US"/>
        </w:rPr>
        <w:t>of</w:t>
      </w:r>
      <w:r w:rsidRPr="00FD2606">
        <w:rPr>
          <w:rFonts w:asciiTheme="minorHAnsi" w:hAnsiTheme="minorHAnsi"/>
          <w:lang w:val="en-US" w:bidi="x-none"/>
        </w:rPr>
        <w:t xml:space="preserve"> various challenging substrates.</w:t>
      </w:r>
    </w:p>
    <w:p w14:paraId="5FCFF477" w14:textId="36E77A46" w:rsidR="00C4383C" w:rsidRPr="00C4383C" w:rsidRDefault="00C4383C" w:rsidP="0010127E">
      <w:pPr>
        <w:spacing w:after="120"/>
        <w:rPr>
          <w:rFonts w:asciiTheme="minorHAnsi" w:hAnsiTheme="minorHAnsi"/>
          <w:lang w:val="en-US" w:bidi="x-none"/>
        </w:rPr>
      </w:pPr>
      <w:r w:rsidRPr="00C4383C">
        <w:rPr>
          <w:rFonts w:asciiTheme="minorHAnsi" w:hAnsiTheme="minorHAnsi"/>
          <w:lang w:val="en-US" w:bidi="x-none"/>
        </w:rPr>
        <w:t>Moreover, the high energy of the photocatalysts will be utilized to conduct depolymerization reactions, enabling the chemical upcycling of polymers into small molecule feedstocks as a method of plastic waste valorization.</w:t>
      </w:r>
      <w:r w:rsidR="0010127E">
        <w:rPr>
          <w:rFonts w:asciiTheme="minorHAnsi" w:hAnsiTheme="minorHAnsi"/>
          <w:lang w:val="en-US" w:bidi="x-none"/>
        </w:rPr>
        <w:t xml:space="preserve"> Challenging reductive polymerization reactions will also be targeted, with the aim of providing new strategies to build complex polymeric architectures.</w:t>
      </w:r>
    </w:p>
    <w:p w14:paraId="3B5BFE50" w14:textId="0F721BCF" w:rsidR="00035262" w:rsidRPr="00FD2606" w:rsidRDefault="00C4383C" w:rsidP="00C4383C">
      <w:pPr>
        <w:rPr>
          <w:rFonts w:asciiTheme="minorHAnsi" w:hAnsiTheme="minorHAnsi"/>
          <w:lang w:val="en-US" w:bidi="x-none"/>
        </w:rPr>
      </w:pPr>
      <w:r w:rsidRPr="00C4383C">
        <w:rPr>
          <w:rFonts w:asciiTheme="minorHAnsi" w:hAnsiTheme="minorHAnsi"/>
          <w:lang w:val="en-US" w:bidi="x-none"/>
        </w:rPr>
        <w:t>The catalysts will be derived from the modification of inexpensive and readily available commercial dyes. We will thoroughly characterize the obtained photocatalysts using</w:t>
      </w:r>
      <w:r>
        <w:rPr>
          <w:rFonts w:asciiTheme="minorHAnsi" w:hAnsiTheme="minorHAnsi"/>
          <w:lang w:val="en-US" w:bidi="x-none"/>
        </w:rPr>
        <w:t xml:space="preserve"> the</w:t>
      </w:r>
      <w:r w:rsidRPr="00C4383C">
        <w:rPr>
          <w:rFonts w:asciiTheme="minorHAnsi" w:hAnsiTheme="minorHAnsi"/>
          <w:lang w:val="en-US" w:bidi="x-none"/>
        </w:rPr>
        <w:t xml:space="preserve"> techniques </w:t>
      </w:r>
      <w:r>
        <w:rPr>
          <w:rFonts w:asciiTheme="minorHAnsi" w:hAnsiTheme="minorHAnsi"/>
          <w:lang w:val="en-US" w:bidi="x-none"/>
        </w:rPr>
        <w:t>of</w:t>
      </w:r>
      <w:r w:rsidRPr="00C4383C">
        <w:rPr>
          <w:rFonts w:asciiTheme="minorHAnsi" w:hAnsiTheme="minorHAnsi"/>
          <w:lang w:val="en-US" w:bidi="x-none"/>
        </w:rPr>
        <w:t xml:space="preserve"> organic physical chemistry. Our aim is to understand their reactivity in both photochemical and electrochemical spaces</w:t>
      </w:r>
      <w:r w:rsidR="0010127E">
        <w:rPr>
          <w:rFonts w:asciiTheme="minorHAnsi" w:hAnsiTheme="minorHAnsi"/>
          <w:lang w:val="en-US" w:bidi="x-none"/>
        </w:rPr>
        <w:t xml:space="preserve"> (Figures B-C)</w:t>
      </w:r>
      <w:r w:rsidRPr="00C4383C">
        <w:rPr>
          <w:rFonts w:asciiTheme="minorHAnsi" w:hAnsiTheme="minorHAnsi"/>
          <w:lang w:val="en-US" w:bidi="x-none"/>
        </w:rPr>
        <w:t>.</w:t>
      </w:r>
    </w:p>
    <w:p w14:paraId="30A806D7" w14:textId="1C577B95" w:rsidR="002C6F0E" w:rsidRDefault="002C6F0E" w:rsidP="00035262">
      <w:pPr>
        <w:rPr>
          <w:lang w:val="en-US"/>
        </w:rPr>
      </w:pPr>
    </w:p>
    <w:p w14:paraId="6926A2E1" w14:textId="626D4662" w:rsidR="00D521A3" w:rsidRPr="005B3068" w:rsidRDefault="00D521A3" w:rsidP="00035262">
      <w:pPr>
        <w:rPr>
          <w:lang w:val="en-US"/>
        </w:rPr>
      </w:pPr>
    </w:p>
    <w:sectPr w:rsidR="00D521A3" w:rsidRPr="005B3068" w:rsidSect="00F371D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D6F3F" w14:textId="77777777" w:rsidR="00F371D1" w:rsidRDefault="00F371D1">
      <w:r>
        <w:separator/>
      </w:r>
    </w:p>
  </w:endnote>
  <w:endnote w:type="continuationSeparator" w:id="0">
    <w:p w14:paraId="02A89500" w14:textId="77777777" w:rsidR="00F371D1" w:rsidRDefault="00F3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8E6F" w14:textId="77777777" w:rsidR="00E51449" w:rsidRDefault="00E51449">
    <w:pPr>
      <w:pStyle w:val="Footer"/>
      <w:tabs>
        <w:tab w:val="clear" w:pos="4819"/>
        <w:tab w:val="clear" w:pos="9638"/>
        <w:tab w:val="left" w:pos="1671"/>
      </w:tabs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B16A" w14:textId="77777777" w:rsidR="00E51449" w:rsidRDefault="00E51449">
    <w:pPr>
      <w:pStyle w:val="Footer"/>
      <w:tabs>
        <w:tab w:val="clear" w:pos="4819"/>
        <w:tab w:val="clear" w:pos="9638"/>
        <w:tab w:val="left" w:pos="1671"/>
      </w:tabs>
      <w:rPr>
        <w:rFonts w:ascii="Trebuchet MS" w:hAnsi="Trebuchet MS"/>
        <w:szCs w:val="20"/>
      </w:rPr>
    </w:pPr>
    <w:r>
      <w:rPr>
        <w:rFonts w:ascii="Trebuchet MS" w:hAnsi="Trebuchet MS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F174E" w14:textId="77777777" w:rsidR="00F371D1" w:rsidRDefault="00F371D1">
      <w:r>
        <w:separator/>
      </w:r>
    </w:p>
  </w:footnote>
  <w:footnote w:type="continuationSeparator" w:id="0">
    <w:p w14:paraId="092E5E82" w14:textId="77777777" w:rsidR="00F371D1" w:rsidRDefault="00F3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1B56" w14:textId="77777777" w:rsidR="00E51449" w:rsidRDefault="00E514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9B686A" w14:textId="77777777" w:rsidR="00E51449" w:rsidRDefault="00E514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19" w:type="dxa"/>
      <w:jc w:val="center"/>
      <w:tblBorders>
        <w:bottom w:val="single" w:sz="4" w:space="0" w:color="800000"/>
      </w:tblBorders>
      <w:tblLook w:val="00A0" w:firstRow="1" w:lastRow="0" w:firstColumn="1" w:lastColumn="0" w:noHBand="0" w:noVBand="0"/>
    </w:tblPr>
    <w:tblGrid>
      <w:gridCol w:w="7296"/>
      <w:gridCol w:w="3423"/>
    </w:tblGrid>
    <w:tr w:rsidR="00E51449" w14:paraId="194A7EFC" w14:textId="77777777">
      <w:trPr>
        <w:trHeight w:val="1137"/>
        <w:jc w:val="center"/>
      </w:trPr>
      <w:tc>
        <w:tcPr>
          <w:tcW w:w="7296" w:type="dxa"/>
          <w:tcBorders>
            <w:bottom w:val="single" w:sz="4" w:space="0" w:color="800000"/>
          </w:tcBorders>
          <w:vAlign w:val="center"/>
        </w:tcPr>
        <w:p w14:paraId="2E1F268F" w14:textId="77777777" w:rsidR="00E51449" w:rsidRPr="00040741" w:rsidRDefault="00E51449" w:rsidP="00E51449">
          <w:pPr>
            <w:tabs>
              <w:tab w:val="left" w:pos="4880"/>
            </w:tabs>
            <w:jc w:val="center"/>
            <w:rPr>
              <w:color w:val="7D0700"/>
            </w:rPr>
          </w:pPr>
          <w:r w:rsidRPr="00040741">
            <w:rPr>
              <w:rFonts w:ascii="Arial" w:hAnsi="Arial"/>
              <w:color w:val="7D0700"/>
              <w:sz w:val="20"/>
              <w:szCs w:val="16"/>
            </w:rPr>
            <w:t>SCUOLA DI DOTTORATO IN SCIENZE MOLECOLARI</w:t>
          </w:r>
        </w:p>
      </w:tc>
      <w:tc>
        <w:tcPr>
          <w:tcW w:w="3423" w:type="dxa"/>
          <w:tcBorders>
            <w:bottom w:val="single" w:sz="4" w:space="0" w:color="800000"/>
          </w:tcBorders>
          <w:vAlign w:val="center"/>
        </w:tcPr>
        <w:p w14:paraId="7C16FF3B" w14:textId="77777777" w:rsidR="00E51449" w:rsidRDefault="00E026A3" w:rsidP="00E51449">
          <w:pPr>
            <w:ind w:left="744"/>
            <w:jc w:val="center"/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41451007" wp14:editId="1184C479">
                <wp:simplePos x="0" y="0"/>
                <wp:positionH relativeFrom="column">
                  <wp:posOffset>303530</wp:posOffset>
                </wp:positionH>
                <wp:positionV relativeFrom="paragraph">
                  <wp:posOffset>78105</wp:posOffset>
                </wp:positionV>
                <wp:extent cx="1263650" cy="59372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9F64976" w14:textId="77777777" w:rsidR="00E51449" w:rsidRDefault="00E514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19" w:type="dxa"/>
      <w:jc w:val="center"/>
      <w:tblBorders>
        <w:bottom w:val="single" w:sz="4" w:space="0" w:color="800000"/>
      </w:tblBorders>
      <w:tblLook w:val="00A0" w:firstRow="1" w:lastRow="0" w:firstColumn="1" w:lastColumn="0" w:noHBand="0" w:noVBand="0"/>
    </w:tblPr>
    <w:tblGrid>
      <w:gridCol w:w="7296"/>
      <w:gridCol w:w="3423"/>
    </w:tblGrid>
    <w:tr w:rsidR="00E51449" w:rsidRPr="00F67721" w14:paraId="52067778" w14:textId="77777777">
      <w:trPr>
        <w:trHeight w:val="1137"/>
        <w:jc w:val="center"/>
      </w:trPr>
      <w:tc>
        <w:tcPr>
          <w:tcW w:w="7296" w:type="dxa"/>
          <w:tcBorders>
            <w:bottom w:val="single" w:sz="4" w:space="0" w:color="800000"/>
          </w:tcBorders>
          <w:vAlign w:val="center"/>
        </w:tcPr>
        <w:p w14:paraId="24F531DA" w14:textId="77777777" w:rsidR="00E51449" w:rsidRPr="00A60C7F" w:rsidRDefault="00E51449" w:rsidP="00FB1DD4">
          <w:pPr>
            <w:tabs>
              <w:tab w:val="left" w:pos="4880"/>
            </w:tabs>
            <w:jc w:val="center"/>
            <w:rPr>
              <w:color w:val="C00000"/>
              <w:lang w:val="en-US"/>
            </w:rPr>
          </w:pPr>
        </w:p>
      </w:tc>
      <w:tc>
        <w:tcPr>
          <w:tcW w:w="3423" w:type="dxa"/>
          <w:tcBorders>
            <w:bottom w:val="single" w:sz="4" w:space="0" w:color="800000"/>
          </w:tcBorders>
          <w:vAlign w:val="center"/>
        </w:tcPr>
        <w:p w14:paraId="6D863E07" w14:textId="77777777" w:rsidR="00E51449" w:rsidRPr="00A60C7F" w:rsidRDefault="00E026A3" w:rsidP="00E51449">
          <w:pPr>
            <w:ind w:left="744"/>
            <w:jc w:val="center"/>
            <w:rPr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 wp14:anchorId="2D7206F6" wp14:editId="0A81DD44">
                <wp:simplePos x="0" y="0"/>
                <wp:positionH relativeFrom="column">
                  <wp:posOffset>303530</wp:posOffset>
                </wp:positionH>
                <wp:positionV relativeFrom="paragraph">
                  <wp:posOffset>78105</wp:posOffset>
                </wp:positionV>
                <wp:extent cx="1263650" cy="59372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222A35" w14:textId="77777777" w:rsidR="00E51449" w:rsidRPr="00A60C7F" w:rsidRDefault="00E5144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EB2"/>
    <w:multiLevelType w:val="hybridMultilevel"/>
    <w:tmpl w:val="2990FE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C3F"/>
    <w:multiLevelType w:val="hybridMultilevel"/>
    <w:tmpl w:val="3768E25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D53E9"/>
    <w:multiLevelType w:val="hybridMultilevel"/>
    <w:tmpl w:val="B1C45174"/>
    <w:lvl w:ilvl="0" w:tplc="02820A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94850"/>
    <w:multiLevelType w:val="hybridMultilevel"/>
    <w:tmpl w:val="DD36EF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BC6196"/>
    <w:multiLevelType w:val="hybridMultilevel"/>
    <w:tmpl w:val="10225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558B"/>
    <w:multiLevelType w:val="hybridMultilevel"/>
    <w:tmpl w:val="F460B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01930"/>
    <w:multiLevelType w:val="hybridMultilevel"/>
    <w:tmpl w:val="F922361C"/>
    <w:lvl w:ilvl="0" w:tplc="6164C20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44A95"/>
    <w:multiLevelType w:val="hybridMultilevel"/>
    <w:tmpl w:val="D206A61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D6FB3"/>
    <w:multiLevelType w:val="hybridMultilevel"/>
    <w:tmpl w:val="BC4668F0"/>
    <w:lvl w:ilvl="0" w:tplc="6164C204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145A3E"/>
    <w:multiLevelType w:val="hybridMultilevel"/>
    <w:tmpl w:val="D6E0FB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A66B1"/>
    <w:multiLevelType w:val="hybridMultilevel"/>
    <w:tmpl w:val="D8409CA0"/>
    <w:lvl w:ilvl="0" w:tplc="02820A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4364B"/>
    <w:multiLevelType w:val="multilevel"/>
    <w:tmpl w:val="D206A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883861"/>
    <w:multiLevelType w:val="hybridMultilevel"/>
    <w:tmpl w:val="4E209A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87128E"/>
    <w:multiLevelType w:val="hybridMultilevel"/>
    <w:tmpl w:val="22127A9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964B3E"/>
    <w:multiLevelType w:val="hybridMultilevel"/>
    <w:tmpl w:val="BC24663C"/>
    <w:lvl w:ilvl="0" w:tplc="E8FE1D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1402D0"/>
    <w:multiLevelType w:val="hybridMultilevel"/>
    <w:tmpl w:val="D88AC1B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D9082C"/>
    <w:multiLevelType w:val="hybridMultilevel"/>
    <w:tmpl w:val="431C0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A1F89"/>
    <w:multiLevelType w:val="hybridMultilevel"/>
    <w:tmpl w:val="097E80A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8511725"/>
    <w:multiLevelType w:val="hybridMultilevel"/>
    <w:tmpl w:val="6C6E2F3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1656842">
    <w:abstractNumId w:val="17"/>
  </w:num>
  <w:num w:numId="2" w16cid:durableId="1202523101">
    <w:abstractNumId w:val="1"/>
  </w:num>
  <w:num w:numId="3" w16cid:durableId="1064448539">
    <w:abstractNumId w:val="7"/>
  </w:num>
  <w:num w:numId="4" w16cid:durableId="417408625">
    <w:abstractNumId w:val="11"/>
  </w:num>
  <w:num w:numId="5" w16cid:durableId="422651805">
    <w:abstractNumId w:val="2"/>
  </w:num>
  <w:num w:numId="6" w16cid:durableId="1176265188">
    <w:abstractNumId w:val="10"/>
  </w:num>
  <w:num w:numId="7" w16cid:durableId="1954240680">
    <w:abstractNumId w:val="0"/>
  </w:num>
  <w:num w:numId="8" w16cid:durableId="1509176996">
    <w:abstractNumId w:val="18"/>
  </w:num>
  <w:num w:numId="9" w16cid:durableId="214901555">
    <w:abstractNumId w:val="9"/>
  </w:num>
  <w:num w:numId="10" w16cid:durableId="507912878">
    <w:abstractNumId w:val="15"/>
  </w:num>
  <w:num w:numId="11" w16cid:durableId="253322269">
    <w:abstractNumId w:val="13"/>
  </w:num>
  <w:num w:numId="12" w16cid:durableId="1181311810">
    <w:abstractNumId w:val="16"/>
  </w:num>
  <w:num w:numId="13" w16cid:durableId="1195652503">
    <w:abstractNumId w:val="14"/>
  </w:num>
  <w:num w:numId="14" w16cid:durableId="979843410">
    <w:abstractNumId w:val="6"/>
  </w:num>
  <w:num w:numId="15" w16cid:durableId="815757517">
    <w:abstractNumId w:val="5"/>
  </w:num>
  <w:num w:numId="16" w16cid:durableId="1822888163">
    <w:abstractNumId w:val="12"/>
  </w:num>
  <w:num w:numId="17" w16cid:durableId="342712324">
    <w:abstractNumId w:val="3"/>
  </w:num>
  <w:num w:numId="18" w16cid:durableId="2064022231">
    <w:abstractNumId w:val="8"/>
  </w:num>
  <w:num w:numId="19" w16cid:durableId="986013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276"/>
    <w:rsid w:val="0001418F"/>
    <w:rsid w:val="00035262"/>
    <w:rsid w:val="000F195B"/>
    <w:rsid w:val="0010127E"/>
    <w:rsid w:val="00131B5E"/>
    <w:rsid w:val="001507C1"/>
    <w:rsid w:val="001B298E"/>
    <w:rsid w:val="001F7BC3"/>
    <w:rsid w:val="00215274"/>
    <w:rsid w:val="00221CDC"/>
    <w:rsid w:val="00232526"/>
    <w:rsid w:val="00242106"/>
    <w:rsid w:val="00257D1B"/>
    <w:rsid w:val="00272432"/>
    <w:rsid w:val="0029132C"/>
    <w:rsid w:val="002A5DD3"/>
    <w:rsid w:val="002C6F0E"/>
    <w:rsid w:val="002F3276"/>
    <w:rsid w:val="00307DF5"/>
    <w:rsid w:val="00315F07"/>
    <w:rsid w:val="00323D65"/>
    <w:rsid w:val="00342745"/>
    <w:rsid w:val="0036234A"/>
    <w:rsid w:val="00421FA0"/>
    <w:rsid w:val="00424401"/>
    <w:rsid w:val="004355DE"/>
    <w:rsid w:val="00452820"/>
    <w:rsid w:val="004A32A8"/>
    <w:rsid w:val="004F44F5"/>
    <w:rsid w:val="005673BF"/>
    <w:rsid w:val="00590A75"/>
    <w:rsid w:val="005A185C"/>
    <w:rsid w:val="005A7CC0"/>
    <w:rsid w:val="005B3068"/>
    <w:rsid w:val="005C160D"/>
    <w:rsid w:val="00600D80"/>
    <w:rsid w:val="00631C37"/>
    <w:rsid w:val="00684CC1"/>
    <w:rsid w:val="0069322A"/>
    <w:rsid w:val="006A7B01"/>
    <w:rsid w:val="006D14FD"/>
    <w:rsid w:val="00766722"/>
    <w:rsid w:val="007C134A"/>
    <w:rsid w:val="0090706A"/>
    <w:rsid w:val="009374CA"/>
    <w:rsid w:val="00971843"/>
    <w:rsid w:val="00990B15"/>
    <w:rsid w:val="009E3A24"/>
    <w:rsid w:val="009E632B"/>
    <w:rsid w:val="00A32389"/>
    <w:rsid w:val="00A40B9A"/>
    <w:rsid w:val="00A430EE"/>
    <w:rsid w:val="00A45E0F"/>
    <w:rsid w:val="00A60C7F"/>
    <w:rsid w:val="00A73CFB"/>
    <w:rsid w:val="00AD232A"/>
    <w:rsid w:val="00B069EB"/>
    <w:rsid w:val="00B468E9"/>
    <w:rsid w:val="00B51220"/>
    <w:rsid w:val="00B529A1"/>
    <w:rsid w:val="00B543F5"/>
    <w:rsid w:val="00C4383C"/>
    <w:rsid w:val="00C4626F"/>
    <w:rsid w:val="00C71D0C"/>
    <w:rsid w:val="00CB1E98"/>
    <w:rsid w:val="00CB3C25"/>
    <w:rsid w:val="00CC22C7"/>
    <w:rsid w:val="00CC63C2"/>
    <w:rsid w:val="00CE11F4"/>
    <w:rsid w:val="00D35DEE"/>
    <w:rsid w:val="00D521A3"/>
    <w:rsid w:val="00D54869"/>
    <w:rsid w:val="00D64B73"/>
    <w:rsid w:val="00D9409D"/>
    <w:rsid w:val="00DA7CED"/>
    <w:rsid w:val="00DE457A"/>
    <w:rsid w:val="00DE661B"/>
    <w:rsid w:val="00E026A3"/>
    <w:rsid w:val="00E07402"/>
    <w:rsid w:val="00E51449"/>
    <w:rsid w:val="00E572BE"/>
    <w:rsid w:val="00E65147"/>
    <w:rsid w:val="00E71675"/>
    <w:rsid w:val="00EC0B3A"/>
    <w:rsid w:val="00EE7814"/>
    <w:rsid w:val="00F371D1"/>
    <w:rsid w:val="00F641EA"/>
    <w:rsid w:val="00F67721"/>
    <w:rsid w:val="00FB1DD4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5E6CCC13"/>
  <w15:docId w15:val="{70D2241D-4F06-4180-B639-91F7B36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jc w:val="right"/>
      <w:outlineLvl w:val="0"/>
    </w:pPr>
    <w:rPr>
      <w:rFonts w:ascii="Garamond" w:hAnsi="Garamond"/>
      <w:spacing w:val="20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Garamond" w:hAnsi="Garamond"/>
      <w:sz w:val="28"/>
      <w:szCs w:val="22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right"/>
      <w:outlineLvl w:val="3"/>
    </w:pPr>
    <w:rPr>
      <w:rFonts w:ascii="Garamond" w:hAnsi="Garamond"/>
      <w:sz w:val="28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bCs/>
      <w:szCs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i/>
      <w:i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b/>
      <w:bCs/>
      <w:i/>
      <w:iCs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rebuchet MS" w:hAnsi="Trebuchet MS"/>
      <w:b/>
      <w:bCs/>
      <w:i/>
      <w:iCs/>
      <w:sz w:val="20"/>
      <w:szCs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estofumetto1">
    <w:name w:val="Testo fumetto1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firstLine="851"/>
    </w:pPr>
    <w:rPr>
      <w:szCs w:val="22"/>
    </w:rPr>
  </w:style>
  <w:style w:type="character" w:styleId="PageNumber">
    <w:name w:val="page number"/>
    <w:basedOn w:val="DefaultParagraphFont"/>
  </w:style>
  <w:style w:type="paragraph" w:customStyle="1" w:styleId="CorpoTestoUnipd">
    <w:name w:val="Corpo Testo Unipd"/>
    <w:basedOn w:val="Normal"/>
    <w:autoRedefine/>
    <w:pPr>
      <w:spacing w:after="60"/>
      <w:ind w:firstLine="539"/>
      <w:jc w:val="both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pPr>
      <w:spacing w:line="480" w:lineRule="auto"/>
    </w:pPr>
    <w:rPr>
      <w:rFonts w:ascii="Garamond" w:hAnsi="Garamond"/>
      <w:sz w:val="28"/>
      <w:szCs w:val="22"/>
    </w:rPr>
  </w:style>
  <w:style w:type="character" w:customStyle="1" w:styleId="apple-style-span">
    <w:name w:val="apple-style-span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firstLine="567"/>
      <w:jc w:val="both"/>
    </w:pPr>
    <w:rPr>
      <w:rFonts w:ascii="Garamond" w:hAnsi="Garamond"/>
      <w:szCs w:val="22"/>
    </w:rPr>
  </w:style>
  <w:style w:type="character" w:customStyle="1" w:styleId="eudoraheader">
    <w:name w:val="eudoraheader"/>
    <w:basedOn w:val="DefaultParagraphFont"/>
  </w:style>
  <w:style w:type="character" w:customStyle="1" w:styleId="testoredazblu">
    <w:name w:val="testoredazblu"/>
    <w:basedOn w:val="DefaultParagraphFont"/>
  </w:style>
  <w:style w:type="paragraph" w:styleId="BodyTextIndent3">
    <w:name w:val="Body Text Indent 3"/>
    <w:basedOn w:val="Normal"/>
    <w:pPr>
      <w:tabs>
        <w:tab w:val="left" w:pos="993"/>
      </w:tabs>
      <w:ind w:left="993" w:hanging="993"/>
    </w:pPr>
    <w:rPr>
      <w:rFonts w:ascii="Trebuchet MS" w:hAnsi="Trebuchet MS"/>
      <w:sz w:val="22"/>
      <w:szCs w:val="22"/>
    </w:rPr>
  </w:style>
  <w:style w:type="table" w:styleId="TableGrid">
    <w:name w:val="Table Grid"/>
    <w:aliases w:val="Tabella senza bordi"/>
    <w:basedOn w:val="TableNormal"/>
    <w:rsid w:val="00040741"/>
    <w:rPr>
      <w:lang w:bidi="x-none"/>
    </w:rPr>
    <w:tblPr>
      <w:tblBorders>
        <w:insideH w:val="single" w:sz="4" w:space="0" w:color="auto"/>
      </w:tblBorders>
    </w:tblPr>
  </w:style>
  <w:style w:type="character" w:customStyle="1" w:styleId="FooterChar">
    <w:name w:val="Footer Char"/>
    <w:link w:val="Footer"/>
    <w:rsid w:val="00376299"/>
    <w:rPr>
      <w:sz w:val="24"/>
      <w:szCs w:val="24"/>
    </w:rPr>
  </w:style>
  <w:style w:type="character" w:customStyle="1" w:styleId="apple-converted-space">
    <w:name w:val="apple-converted-space"/>
    <w:rsid w:val="0034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Università degli Studi di Padova</vt:lpstr>
      <vt:lpstr>Università degli Studi di Padova</vt:lpstr>
    </vt:vector>
  </TitlesOfParts>
  <Company>Università degli Studi di Padova</Company>
  <LinksUpToDate>false</LinksUpToDate>
  <CharactersWithSpaces>2195</CharactersWithSpaces>
  <SharedDoc>false</SharedDoc>
  <HLinks>
    <vt:vector size="30" baseType="variant">
      <vt:variant>
        <vt:i4>1966108</vt:i4>
      </vt:variant>
      <vt:variant>
        <vt:i4>12</vt:i4>
      </vt:variant>
      <vt:variant>
        <vt:i4>0</vt:i4>
      </vt:variant>
      <vt:variant>
        <vt:i4>5</vt:i4>
      </vt:variant>
      <vt:variant>
        <vt:lpwstr>http://www.unipd.it/ricerca/dottorati-di-ricerca/bandi-e-graduatorie</vt:lpwstr>
      </vt:variant>
      <vt:variant>
        <vt:lpwstr/>
      </vt:variant>
      <vt:variant>
        <vt:i4>6094928</vt:i4>
      </vt:variant>
      <vt:variant>
        <vt:i4>9</vt:i4>
      </vt:variant>
      <vt:variant>
        <vt:i4>0</vt:i4>
      </vt:variant>
      <vt:variant>
        <vt:i4>5</vt:i4>
      </vt:variant>
      <vt:variant>
        <vt:lpwstr>http://www.unipd.it/en/node/1053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http://www.chimica.unipd.it/sdsm</vt:lpwstr>
      </vt:variant>
      <vt:variant>
        <vt:lpwstr/>
      </vt:variant>
      <vt:variant>
        <vt:i4>3211326</vt:i4>
      </vt:variant>
      <vt:variant>
        <vt:i4>3</vt:i4>
      </vt:variant>
      <vt:variant>
        <vt:i4>0</vt:i4>
      </vt:variant>
      <vt:variant>
        <vt:i4>5</vt:i4>
      </vt:variant>
      <vt:variant>
        <vt:lpwstr>http://www.dsfarm.unipd.it/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http://www.chimica.unipd.it/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>Universa Universis Patavina Libertas</dc:subject>
  <dc:creator>Università degli Studi di Padova</dc:creator>
  <cp:lastModifiedBy>Marco Fantin</cp:lastModifiedBy>
  <cp:revision>5</cp:revision>
  <cp:lastPrinted>2017-02-08T15:57:00Z</cp:lastPrinted>
  <dcterms:created xsi:type="dcterms:W3CDTF">2024-03-01T08:27:00Z</dcterms:created>
  <dcterms:modified xsi:type="dcterms:W3CDTF">2024-03-28T16:45:00Z</dcterms:modified>
</cp:coreProperties>
</file>